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BF1E7" w14:textId="79E37C8A"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654B16">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654B16">
        <w:rPr>
          <w:rFonts w:ascii="Arial" w:hAnsi="Arial" w:cs="Arial"/>
          <w:b/>
          <w:bCs/>
          <w:sz w:val="32"/>
          <w:szCs w:val="32"/>
          <w:lang w:val="en-US"/>
        </w:rPr>
        <w:t>2001413</w:t>
      </w:r>
    </w:p>
    <w:p w14:paraId="653BFEFC" w14:textId="65B504D4" w:rsidR="00645388" w:rsidRDefault="00654B16"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49B2021B" w14:textId="77777777" w:rsidR="005813AA" w:rsidRPr="007535E3" w:rsidRDefault="005813AA" w:rsidP="005813AA">
      <w:pPr>
        <w:pStyle w:val="Footer"/>
        <w:jc w:val="both"/>
        <w:rPr>
          <w:noProof w:val="0"/>
        </w:rPr>
      </w:pPr>
    </w:p>
    <w:p w14:paraId="4D07A99D" w14:textId="7777777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36349">
        <w:rPr>
          <w:rFonts w:ascii="Arial" w:hAnsi="Arial" w:cs="Arial"/>
          <w:sz w:val="24"/>
          <w:lang w:val="en-US" w:eastAsia="zh-CN"/>
        </w:rPr>
        <w:t>Remaining open issues on DAPS handover for NR</w:t>
      </w:r>
    </w:p>
    <w:p w14:paraId="3A02C3C7"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71D77AC" w14:textId="0EA100A1"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54B16">
        <w:rPr>
          <w:rFonts w:ascii="Arial" w:hAnsi="Arial" w:cs="Arial"/>
          <w:sz w:val="24"/>
          <w:lang w:val="en-US" w:eastAsia="zh-CN"/>
        </w:rPr>
        <w:t>8.3.2.1</w:t>
      </w:r>
    </w:p>
    <w:p w14:paraId="6084B4CF"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5E19534C" w14:textId="77777777" w:rsidR="00E948E9" w:rsidRDefault="005813AA" w:rsidP="002E5998">
      <w:pPr>
        <w:pStyle w:val="Heading1"/>
      </w:pPr>
      <w:r w:rsidRPr="00DA6BF8">
        <w:t>Introduction</w:t>
      </w:r>
    </w:p>
    <w:p w14:paraId="0C9D6C3F" w14:textId="77777777" w:rsidR="006D1AAF" w:rsidRPr="006D1AAF" w:rsidRDefault="00936349" w:rsidP="006D1AAF">
      <w:r>
        <w:t xml:space="preserve">In RAN4#93, progress was made on NR DAPS handover, involving simultaneous reception and transmission and much smaller interruption than legacy handover. CRs were technically endorsed </w:t>
      </w:r>
      <w:r>
        <w:fldChar w:fldCharType="begin"/>
      </w:r>
      <w:r>
        <w:instrText xml:space="preserve"> REF _Ref26949420 \r \h </w:instrText>
      </w:r>
      <w:r>
        <w:fldChar w:fldCharType="separate"/>
      </w:r>
      <w:r>
        <w:t>[2]</w:t>
      </w:r>
      <w:r>
        <w:fldChar w:fldCharType="end"/>
      </w:r>
      <w:r>
        <w:t xml:space="preserve">. The CRs contain a small number of TBDs and editor’s notes which need to be addressed, and most of the remaining open issues were covered by a way forward </w:t>
      </w:r>
      <w:r>
        <w:fldChar w:fldCharType="begin"/>
      </w:r>
      <w:r>
        <w:instrText xml:space="preserve"> REF _Ref26949661 \r \h </w:instrText>
      </w:r>
      <w:r>
        <w:fldChar w:fldCharType="separate"/>
      </w:r>
      <w:r>
        <w:t>[1]</w:t>
      </w:r>
      <w:r>
        <w:fldChar w:fldCharType="end"/>
      </w:r>
      <w:r>
        <w:t>. In this paper, we present our analysis of the remaining issues.</w:t>
      </w:r>
    </w:p>
    <w:p w14:paraId="0E4E5401" w14:textId="77777777" w:rsidR="00902595" w:rsidRDefault="00902595" w:rsidP="00902595">
      <w:pPr>
        <w:pStyle w:val="Heading1"/>
        <w:jc w:val="both"/>
        <w:rPr>
          <w:rFonts w:eastAsia="SimSun"/>
          <w:lang w:val="en-US" w:eastAsia="zh-CN"/>
        </w:rPr>
      </w:pPr>
      <w:r>
        <w:rPr>
          <w:rFonts w:eastAsia="SimSun"/>
          <w:lang w:val="en-US" w:eastAsia="zh-CN"/>
        </w:rPr>
        <w:t>Discussion</w:t>
      </w:r>
    </w:p>
    <w:p w14:paraId="6DF956CB" w14:textId="77777777" w:rsidR="00C5471A" w:rsidRPr="00C5471A" w:rsidRDefault="00936349" w:rsidP="00C5471A">
      <w:pPr>
        <w:rPr>
          <w:lang w:val="en-US" w:eastAsia="zh-CN"/>
        </w:rPr>
      </w:pPr>
      <w:r>
        <w:rPr>
          <w:lang w:val="en-US" w:eastAsia="zh-CN"/>
        </w:rPr>
        <w:t xml:space="preserve">Most of the outstanding issues relate to intrafrequency DAPS handover, and the interruption requirement. </w:t>
      </w:r>
      <w:r w:rsidR="005571CA">
        <w:rPr>
          <w:lang w:val="en-US" w:eastAsia="zh-CN"/>
        </w:rPr>
        <w:t>We begin with discussion on the relationship between CBW and BWP from UE perspective:</w:t>
      </w:r>
    </w:p>
    <w:p w14:paraId="11839EF0" w14:textId="77777777" w:rsidR="00C5471A" w:rsidRPr="005571CA" w:rsidRDefault="00C5471A" w:rsidP="00C5471A">
      <w:pPr>
        <w:rPr>
          <w:i/>
          <w:lang w:val="en-US" w:eastAsia="zh-CN"/>
        </w:rPr>
      </w:pPr>
      <w:r w:rsidRPr="005571CA">
        <w:rPr>
          <w:i/>
          <w:lang w:val="en-US" w:eastAsia="zh-CN"/>
        </w:rPr>
        <w:t>FFS on the interruption requirement when the relationship between CBW of target and source cell is different the relationship between BWP of target and source cell.</w:t>
      </w:r>
    </w:p>
    <w:p w14:paraId="017513F7" w14:textId="77777777" w:rsidR="005571CA" w:rsidRDefault="005571CA" w:rsidP="005571CA">
      <w:pPr>
        <w:rPr>
          <w:lang w:val="en-US" w:eastAsia="zh-CN"/>
        </w:rPr>
      </w:pPr>
      <w:r>
        <w:rPr>
          <w:lang w:val="en-US" w:eastAsia="zh-CN"/>
        </w:rPr>
        <w:t xml:space="preserve">The minimum requirement for a UE is that it receives the active BWP, and it is decided for DAPs handover that </w:t>
      </w:r>
      <w:r w:rsidRPr="00C5471A">
        <w:rPr>
          <w:lang w:val="en-US" w:eastAsia="zh-CN"/>
        </w:rPr>
        <w:t>BWsource ≥ BWtarget</w:t>
      </w:r>
      <w:r>
        <w:rPr>
          <w:lang w:val="en-US" w:eastAsia="zh-CN"/>
        </w:rPr>
        <w:t>. However, BWP was introduced for UE power saving and it is not mandatory that the UE saves power by implementing BWP switching. For example, a first release of UE may still receive the full channel BW. It can happen that either CBW</w:t>
      </w:r>
      <w:r w:rsidRPr="005571CA">
        <w:rPr>
          <w:vertAlign w:val="subscript"/>
          <w:lang w:val="en-US" w:eastAsia="zh-CN"/>
        </w:rPr>
        <w:t>source</w:t>
      </w:r>
      <w:r>
        <w:rPr>
          <w:lang w:val="en-US" w:eastAsia="zh-CN"/>
        </w:rPr>
        <w:t>&lt;CWB</w:t>
      </w:r>
      <w:r w:rsidRPr="005571CA">
        <w:rPr>
          <w:vertAlign w:val="subscript"/>
          <w:lang w:val="en-US" w:eastAsia="zh-CN"/>
        </w:rPr>
        <w:t>target</w:t>
      </w:r>
      <w:r>
        <w:rPr>
          <w:lang w:val="en-US" w:eastAsia="zh-CN"/>
        </w:rPr>
        <w:t xml:space="preserve"> or CBW</w:t>
      </w:r>
      <w:r w:rsidRPr="005571CA">
        <w:rPr>
          <w:vertAlign w:val="subscript"/>
          <w:lang w:val="en-US" w:eastAsia="zh-CN"/>
        </w:rPr>
        <w:t>source</w:t>
      </w:r>
      <w:r>
        <w:rPr>
          <w:lang w:val="en-US" w:eastAsia="zh-CN"/>
        </w:rPr>
        <w:t>&gt;CWB</w:t>
      </w:r>
      <w:r w:rsidRPr="005571CA">
        <w:rPr>
          <w:vertAlign w:val="subscript"/>
          <w:lang w:val="en-US" w:eastAsia="zh-CN"/>
        </w:rPr>
        <w:t>target</w:t>
      </w:r>
      <w:r>
        <w:rPr>
          <w:lang w:val="en-US" w:eastAsia="zh-CN"/>
        </w:rPr>
        <w:t>. This does not seem a very common deployment scenario (the most common intrafrequency deployment is going to be CBW</w:t>
      </w:r>
      <w:r w:rsidRPr="005571CA">
        <w:rPr>
          <w:vertAlign w:val="subscript"/>
          <w:lang w:val="en-US" w:eastAsia="zh-CN"/>
        </w:rPr>
        <w:t>source</w:t>
      </w:r>
      <w:r>
        <w:rPr>
          <w:lang w:val="en-US" w:eastAsia="zh-CN"/>
        </w:rPr>
        <w:t>=CWB</w:t>
      </w:r>
      <w:r w:rsidRPr="005571CA">
        <w:rPr>
          <w:vertAlign w:val="subscript"/>
          <w:lang w:val="en-US" w:eastAsia="zh-CN"/>
        </w:rPr>
        <w:t>target</w:t>
      </w:r>
      <w:r>
        <w:rPr>
          <w:lang w:val="en-US" w:eastAsia="zh-CN"/>
        </w:rPr>
        <w:t xml:space="preserve">. Still it may happen that </w:t>
      </w:r>
      <w:r w:rsidR="00597009">
        <w:rPr>
          <w:lang w:val="en-US" w:eastAsia="zh-CN"/>
        </w:rPr>
        <w:t>the scenario occurs, for instance when moving from urban to rural areas or similar.</w:t>
      </w:r>
    </w:p>
    <w:p w14:paraId="038B95BE" w14:textId="77777777" w:rsidR="00597009" w:rsidRDefault="00597009" w:rsidP="005571CA">
      <w:pPr>
        <w:rPr>
          <w:lang w:val="en-US" w:eastAsia="zh-CN"/>
        </w:rPr>
      </w:pPr>
      <w:r>
        <w:rPr>
          <w:lang w:val="en-US" w:eastAsia="zh-CN"/>
        </w:rPr>
        <w:t>If we consider a hypothetical UE which does not implement BWP based switching of the RF bandwidth, it can be seen from this description that it may either need to increase RF bandwidth or reduce RF bandwidth during the DAPS handover. This results in either an interruption when the target cell is added (BW increasing case) or when the source cell is released (BW reducing case). Hence, to cover such UE it would be necessary to reintroduce more generic interruption requirements covering both cases.</w:t>
      </w:r>
    </w:p>
    <w:p w14:paraId="1CFC578B" w14:textId="77777777" w:rsidR="00597009" w:rsidRDefault="00597009" w:rsidP="00597009">
      <w:pPr>
        <w:rPr>
          <w:b/>
          <w:lang w:val="en-US" w:eastAsia="zh-CN"/>
        </w:rPr>
      </w:pPr>
      <w:r>
        <w:rPr>
          <w:b/>
          <w:lang w:val="en-US" w:eastAsia="zh-CN"/>
        </w:rPr>
        <w:t xml:space="preserve">Proposal 1 : To support cases where the relationship of </w:t>
      </w:r>
      <w:r w:rsidRPr="00597009">
        <w:rPr>
          <w:b/>
          <w:lang w:val="en-US" w:eastAsia="zh-CN"/>
        </w:rPr>
        <w:t>CBW of target and source cell is different to different the relationship between BWP of target and source cell</w:t>
      </w:r>
      <w:r>
        <w:rPr>
          <w:b/>
          <w:lang w:val="en-US" w:eastAsia="zh-CN"/>
        </w:rPr>
        <w:t xml:space="preserve">, generic interruption </w:t>
      </w:r>
      <w:r w:rsidR="00F613CE">
        <w:rPr>
          <w:b/>
          <w:lang w:val="en-US" w:eastAsia="zh-CN"/>
        </w:rPr>
        <w:t>requirements are necessary. A</w:t>
      </w:r>
      <w:r>
        <w:rPr>
          <w:b/>
          <w:lang w:val="en-US" w:eastAsia="zh-CN"/>
        </w:rPr>
        <w:t>n interruption is allowed both when the target cell is added, and the source cell is released.</w:t>
      </w:r>
      <w:r w:rsidR="00F613CE">
        <w:rPr>
          <w:b/>
          <w:lang w:val="en-US" w:eastAsia="zh-CN"/>
        </w:rPr>
        <w:t xml:space="preserve"> This allows the UE always to have its RF configured to receive CBW.</w:t>
      </w:r>
    </w:p>
    <w:p w14:paraId="17B73357" w14:textId="77777777" w:rsidR="00597009" w:rsidRDefault="00597009" w:rsidP="00597009">
      <w:pPr>
        <w:rPr>
          <w:lang w:val="en-US" w:eastAsia="zh-CN"/>
        </w:rPr>
      </w:pPr>
      <w:r>
        <w:rPr>
          <w:lang w:val="en-US" w:eastAsia="zh-CN"/>
        </w:rPr>
        <w:t>RAN4 could discuss whether P1 is strictly necessary, since even if the implementation does not normally follow BWP, the following implementation would be possible</w:t>
      </w:r>
    </w:p>
    <w:p w14:paraId="6A3961DD" w14:textId="77777777" w:rsidR="00597009" w:rsidRPr="00F613CE" w:rsidRDefault="00597009" w:rsidP="00597009">
      <w:pPr>
        <w:pStyle w:val="ListParagraph"/>
        <w:numPr>
          <w:ilvl w:val="0"/>
          <w:numId w:val="42"/>
        </w:numPr>
        <w:rPr>
          <w:sz w:val="20"/>
          <w:lang w:val="en-US" w:eastAsia="zh-CN"/>
        </w:rPr>
      </w:pPr>
      <w:r w:rsidRPr="00F613CE">
        <w:rPr>
          <w:sz w:val="20"/>
          <w:lang w:val="en-US" w:eastAsia="zh-CN"/>
        </w:rPr>
        <w:t>UE configured to receive CBW of source cell</w:t>
      </w:r>
    </w:p>
    <w:p w14:paraId="366C47E5" w14:textId="77777777" w:rsidR="00597009" w:rsidRPr="00F613CE" w:rsidRDefault="00597009" w:rsidP="00597009">
      <w:pPr>
        <w:pStyle w:val="ListParagraph"/>
        <w:numPr>
          <w:ilvl w:val="0"/>
          <w:numId w:val="42"/>
        </w:numPr>
        <w:rPr>
          <w:sz w:val="20"/>
          <w:lang w:val="en-US" w:eastAsia="zh-CN"/>
        </w:rPr>
      </w:pPr>
      <w:r w:rsidRPr="00F613CE">
        <w:rPr>
          <w:sz w:val="20"/>
          <w:lang w:val="en-US" w:eastAsia="zh-CN"/>
        </w:rPr>
        <w:t>UE performs DAPS handover with CWB</w:t>
      </w:r>
      <w:r w:rsidRPr="00F613CE">
        <w:rPr>
          <w:sz w:val="20"/>
          <w:vertAlign w:val="subscript"/>
          <w:lang w:val="en-US" w:eastAsia="zh-CN"/>
        </w:rPr>
        <w:t>target</w:t>
      </w:r>
      <w:r w:rsidRPr="00F613CE">
        <w:rPr>
          <w:sz w:val="20"/>
          <w:lang w:val="en-US" w:eastAsia="zh-CN"/>
        </w:rPr>
        <w:t>&gt;CBW</w:t>
      </w:r>
      <w:r w:rsidRPr="00F613CE">
        <w:rPr>
          <w:sz w:val="20"/>
          <w:vertAlign w:val="subscript"/>
          <w:lang w:val="en-US" w:eastAsia="zh-CN"/>
        </w:rPr>
        <w:t>source</w:t>
      </w:r>
      <w:r w:rsidRPr="00F613CE">
        <w:rPr>
          <w:sz w:val="20"/>
          <w:lang w:val="en-US" w:eastAsia="zh-CN"/>
        </w:rPr>
        <w:t xml:space="preserve"> and BWP</w:t>
      </w:r>
      <w:r w:rsidRPr="00F613CE">
        <w:rPr>
          <w:sz w:val="20"/>
          <w:vertAlign w:val="subscript"/>
          <w:lang w:val="en-US" w:eastAsia="zh-CN"/>
        </w:rPr>
        <w:t>target</w:t>
      </w:r>
      <w:r w:rsidRPr="00F613CE">
        <w:rPr>
          <w:sz w:val="20"/>
          <w:lang w:val="en-US" w:eastAsia="zh-CN"/>
        </w:rPr>
        <w:t>≤BWP</w:t>
      </w:r>
      <w:r w:rsidRPr="00F613CE">
        <w:rPr>
          <w:sz w:val="20"/>
          <w:vertAlign w:val="subscript"/>
          <w:lang w:val="en-US" w:eastAsia="zh-CN"/>
        </w:rPr>
        <w:t>source</w:t>
      </w:r>
    </w:p>
    <w:p w14:paraId="730EEDDC" w14:textId="77777777" w:rsidR="00F613CE" w:rsidRPr="00F613CE" w:rsidRDefault="00F613CE" w:rsidP="00597009">
      <w:pPr>
        <w:pStyle w:val="ListParagraph"/>
        <w:numPr>
          <w:ilvl w:val="0"/>
          <w:numId w:val="42"/>
        </w:numPr>
        <w:rPr>
          <w:sz w:val="20"/>
          <w:lang w:val="en-US" w:eastAsia="zh-CN"/>
        </w:rPr>
      </w:pPr>
      <w:r w:rsidRPr="00F613CE">
        <w:rPr>
          <w:sz w:val="20"/>
          <w:lang w:val="en-US" w:eastAsia="zh-CN"/>
        </w:rPr>
        <w:t>Despite 2, UE does not increase RF BW at target addition, since it is already sufficient to receive the active BWP</w:t>
      </w:r>
    </w:p>
    <w:p w14:paraId="1EC810AD" w14:textId="77777777" w:rsidR="00F613CE" w:rsidRPr="00F613CE" w:rsidRDefault="00F613CE" w:rsidP="00597009">
      <w:pPr>
        <w:pStyle w:val="ListParagraph"/>
        <w:numPr>
          <w:ilvl w:val="0"/>
          <w:numId w:val="42"/>
        </w:numPr>
        <w:rPr>
          <w:sz w:val="20"/>
          <w:lang w:val="en-US" w:eastAsia="zh-CN"/>
        </w:rPr>
      </w:pPr>
      <w:r w:rsidRPr="00F613CE">
        <w:rPr>
          <w:sz w:val="20"/>
          <w:lang w:val="en-US" w:eastAsia="zh-CN"/>
        </w:rPr>
        <w:t>If any BWP switch (DCI/timer/RRC based) is triggered after the DAPS handover, the UE may then reconfigure to receive the full CWB</w:t>
      </w:r>
      <w:r w:rsidRPr="00F613CE">
        <w:rPr>
          <w:sz w:val="20"/>
          <w:vertAlign w:val="subscript"/>
          <w:lang w:val="en-US" w:eastAsia="zh-CN"/>
        </w:rPr>
        <w:t>target</w:t>
      </w:r>
    </w:p>
    <w:p w14:paraId="7C348B25" w14:textId="77777777" w:rsidR="00F613CE" w:rsidRDefault="00F613CE" w:rsidP="005571CA">
      <w:pPr>
        <w:rPr>
          <w:lang w:val="en-US" w:eastAsia="zh-CN"/>
        </w:rPr>
      </w:pPr>
    </w:p>
    <w:p w14:paraId="06CB0388" w14:textId="77777777" w:rsidR="00597009" w:rsidRDefault="00F613CE" w:rsidP="005571CA">
      <w:pPr>
        <w:rPr>
          <w:lang w:val="en-US" w:eastAsia="zh-CN"/>
        </w:rPr>
      </w:pPr>
      <w:r>
        <w:rPr>
          <w:lang w:val="en-US" w:eastAsia="zh-CN"/>
        </w:rPr>
        <w:t>These steps represent a relatively straightforward implementation, so we think RAN4 should discuss if P1 is strictly necessary or whether this UE behaviour can be assumed.</w:t>
      </w:r>
    </w:p>
    <w:p w14:paraId="355319E6" w14:textId="77777777" w:rsidR="00F613CE" w:rsidRPr="00F613CE" w:rsidRDefault="00F613CE" w:rsidP="005571CA">
      <w:pPr>
        <w:rPr>
          <w:b/>
          <w:lang w:val="en-US" w:eastAsia="zh-CN"/>
        </w:rPr>
      </w:pPr>
      <w:r>
        <w:rPr>
          <w:b/>
          <w:lang w:val="en-US" w:eastAsia="zh-CN"/>
        </w:rPr>
        <w:t>Proposal 2 : RAN4 should discuss if P1 is strictly necessary</w:t>
      </w:r>
    </w:p>
    <w:p w14:paraId="50156DD0" w14:textId="77777777" w:rsidR="00751CBE" w:rsidRPr="00751CBE" w:rsidRDefault="00751CBE" w:rsidP="00C5471A">
      <w:pPr>
        <w:rPr>
          <w:i/>
          <w:lang w:val="en-US" w:eastAsia="zh-CN"/>
        </w:rPr>
      </w:pPr>
      <w:r w:rsidRPr="00751CBE">
        <w:rPr>
          <w:i/>
          <w:lang w:val="en-US" w:eastAsia="zh-CN"/>
        </w:rPr>
        <w:t xml:space="preserve">Interruption for intra-frequency HO with BWsource ≥ BWtarget: </w:t>
      </w:r>
    </w:p>
    <w:p w14:paraId="6122958F" w14:textId="77777777" w:rsidR="00C5471A" w:rsidRPr="00C5471A" w:rsidRDefault="00F613CE" w:rsidP="00C5471A">
      <w:pPr>
        <w:rPr>
          <w:lang w:val="en-US" w:eastAsia="zh-CN"/>
        </w:rPr>
      </w:pPr>
      <w:r>
        <w:rPr>
          <w:lang w:val="en-US" w:eastAsia="zh-CN"/>
        </w:rPr>
        <w:lastRenderedPageBreak/>
        <w:t>Next we consider the duration of the interruption. In the way forward there are two options</w:t>
      </w:r>
      <w:r w:rsidR="00C5471A" w:rsidRPr="00C5471A">
        <w:rPr>
          <w:lang w:val="en-US" w:eastAsia="zh-CN"/>
        </w:rPr>
        <w:t xml:space="preserve"> for intra-frequency HO with BWsource ≥ BWtarget: </w:t>
      </w:r>
    </w:p>
    <w:p w14:paraId="06D0765B" w14:textId="77777777" w:rsidR="00C5471A" w:rsidRPr="00C5471A" w:rsidRDefault="00C5471A" w:rsidP="00C5471A">
      <w:pPr>
        <w:rPr>
          <w:lang w:val="en-US" w:eastAsia="zh-CN"/>
        </w:rPr>
      </w:pPr>
      <w:r w:rsidRPr="00C5471A">
        <w:rPr>
          <w:lang w:val="en-US" w:eastAsia="zh-CN"/>
        </w:rPr>
        <w:t>Option 1:</w:t>
      </w:r>
      <w:r>
        <w:rPr>
          <w:lang w:val="en-US" w:eastAsia="zh-CN"/>
        </w:rPr>
        <w:t xml:space="preserve"> corresponds to 1ms interruption</w:t>
      </w:r>
    </w:p>
    <w:p w14:paraId="065927A7" w14:textId="77777777" w:rsidR="00C5471A" w:rsidRDefault="00C5471A" w:rsidP="00C5471A">
      <w:pPr>
        <w:rPr>
          <w:lang w:val="en-US" w:eastAsia="zh-CN"/>
        </w:rPr>
      </w:pPr>
      <w:r w:rsidRPr="00C5471A">
        <w:rPr>
          <w:lang w:val="en-US" w:eastAsia="zh-CN"/>
        </w:rPr>
        <w:t>Option 2:</w:t>
      </w:r>
      <w:r>
        <w:rPr>
          <w:lang w:val="en-US" w:eastAsia="zh-CN"/>
        </w:rPr>
        <w:t xml:space="preserve"> Corresponds to 0.5ms interruption, </w:t>
      </w:r>
      <w:r w:rsidR="00F613CE">
        <w:rPr>
          <w:lang w:val="en-US" w:eastAsia="zh-CN"/>
        </w:rPr>
        <w:t>except for 15kHz SCS, where this is rounded up to a slot (1ms).</w:t>
      </w:r>
    </w:p>
    <w:p w14:paraId="2552D3B0" w14:textId="77777777" w:rsidR="00F613CE" w:rsidRDefault="00F613CE" w:rsidP="00C5471A">
      <w:pPr>
        <w:rPr>
          <w:lang w:val="en-US" w:eastAsia="zh-CN"/>
        </w:rPr>
      </w:pPr>
      <w:r>
        <w:rPr>
          <w:lang w:val="en-US" w:eastAsia="zh-CN"/>
        </w:rPr>
        <w:t>Since 500ms is sufficient for gap based measurement retuning, which potentially involves a change to centre frequency and received BW our view is that it is sufficient to allow the UE to reconfigure its receiver.</w:t>
      </w:r>
    </w:p>
    <w:p w14:paraId="758FCC3E" w14:textId="77777777" w:rsidR="00751CBE" w:rsidRDefault="00751CBE" w:rsidP="00C5471A">
      <w:pPr>
        <w:rPr>
          <w:b/>
          <w:lang w:val="en-US" w:eastAsia="zh-CN"/>
        </w:rPr>
      </w:pPr>
      <w:r>
        <w:rPr>
          <w:b/>
          <w:lang w:val="en-US" w:eastAsia="zh-CN"/>
        </w:rPr>
        <w:t xml:space="preserve">Proposal 3 : The interruption for intra-frequency DAPS handover is specified as: </w:t>
      </w:r>
    </w:p>
    <w:tbl>
      <w:tblPr>
        <w:tblW w:w="8840" w:type="dxa"/>
        <w:tblCellMar>
          <w:left w:w="0" w:type="dxa"/>
          <w:right w:w="0" w:type="dxa"/>
        </w:tblCellMar>
        <w:tblLook w:val="04A0" w:firstRow="1" w:lastRow="0" w:firstColumn="1" w:lastColumn="0" w:noHBand="0" w:noVBand="1"/>
      </w:tblPr>
      <w:tblGrid>
        <w:gridCol w:w="1616"/>
        <w:gridCol w:w="2415"/>
        <w:gridCol w:w="4809"/>
      </w:tblGrid>
      <w:tr w:rsidR="00751CBE" w:rsidRPr="00751CBE" w14:paraId="0A745F36" w14:textId="77777777" w:rsidTr="00751CBE">
        <w:trPr>
          <w:trHeight w:val="458"/>
        </w:trPr>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89B6767" w14:textId="77777777" w:rsidR="00751CBE" w:rsidRPr="00751CBE" w:rsidRDefault="00751CBE" w:rsidP="00751CBE">
            <w:pPr>
              <w:spacing w:after="0"/>
              <w:rPr>
                <w:rFonts w:eastAsia="Times New Roman"/>
                <w:sz w:val="24"/>
                <w:szCs w:val="24"/>
                <w:lang w:eastAsia="en-GB"/>
              </w:rPr>
            </w:pPr>
          </w:p>
        </w:tc>
        <w:tc>
          <w:tcPr>
            <w:tcW w:w="24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CDA9E13"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NR Slot length (ms)</w:t>
            </w:r>
          </w:p>
        </w:tc>
        <w:tc>
          <w:tcPr>
            <w:tcW w:w="4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9EF3FEE"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Interruption length X (slots</w:t>
            </w:r>
            <w:r w:rsidRPr="00751CBE">
              <w:rPr>
                <w:rFonts w:ascii="Calibri" w:eastAsia="Times New Roman" w:hAnsi="Calibri" w:cs="Calibri"/>
                <w:b/>
                <w:bCs/>
                <w:color w:val="FFFFFF"/>
                <w:kern w:val="24"/>
                <w:position w:val="7"/>
                <w:sz w:val="22"/>
                <w:szCs w:val="22"/>
                <w:vertAlign w:val="superscript"/>
                <w:lang w:eastAsia="en-GB"/>
              </w:rPr>
              <w:t>note 1</w:t>
            </w:r>
            <w:r w:rsidRPr="00751CBE">
              <w:rPr>
                <w:rFonts w:ascii="Calibri" w:eastAsia="Times New Roman" w:hAnsi="Calibri" w:cs="Calibri"/>
                <w:b/>
                <w:bCs/>
                <w:color w:val="FFFFFF"/>
                <w:kern w:val="24"/>
                <w:sz w:val="22"/>
                <w:szCs w:val="22"/>
                <w:lang w:eastAsia="en-GB"/>
              </w:rPr>
              <w:t>)</w:t>
            </w:r>
          </w:p>
        </w:tc>
      </w:tr>
      <w:tr w:rsidR="00751CBE" w:rsidRPr="00751CBE" w14:paraId="7B31C3B5" w14:textId="77777777" w:rsidTr="00751CBE">
        <w:tc>
          <w:tcPr>
            <w:tcW w:w="162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D75549D"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0</w:t>
            </w:r>
          </w:p>
        </w:tc>
        <w:tc>
          <w:tcPr>
            <w:tcW w:w="2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3BD525"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c>
          <w:tcPr>
            <w:tcW w:w="4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76C9234"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r>
      <w:tr w:rsidR="00751CBE" w:rsidRPr="00751CBE" w14:paraId="0A899578" w14:textId="77777777" w:rsidTr="00751CBE">
        <w:tc>
          <w:tcPr>
            <w:tcW w:w="16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F2DE965"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1</w:t>
            </w:r>
          </w:p>
        </w:tc>
        <w:tc>
          <w:tcPr>
            <w:tcW w:w="2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5F9E3B"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0.5</w:t>
            </w:r>
          </w:p>
        </w:tc>
        <w:tc>
          <w:tcPr>
            <w:tcW w:w="4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24635C4"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r>
      <w:tr w:rsidR="00751CBE" w:rsidRPr="00751CBE" w14:paraId="56CB97EF" w14:textId="77777777" w:rsidTr="00751CBE">
        <w:tc>
          <w:tcPr>
            <w:tcW w:w="16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37DA69"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2</w:t>
            </w:r>
          </w:p>
        </w:tc>
        <w:tc>
          <w:tcPr>
            <w:tcW w:w="2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8C2C25E"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0.25</w:t>
            </w:r>
            <w:r w:rsidRPr="00751CBE">
              <w:rPr>
                <w:rFonts w:ascii="Calibri" w:eastAsia="Times New Roman" w:hAnsi="Calibri" w:cs="Calibri"/>
                <w:color w:val="000000"/>
                <w:kern w:val="24"/>
                <w:position w:val="7"/>
                <w:sz w:val="22"/>
                <w:szCs w:val="22"/>
                <w:vertAlign w:val="superscript"/>
                <w:lang w:eastAsia="en-GB"/>
              </w:rPr>
              <w:t xml:space="preserve"> Note 2</w:t>
            </w:r>
          </w:p>
        </w:tc>
        <w:tc>
          <w:tcPr>
            <w:tcW w:w="48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2A749EB" w14:textId="77777777" w:rsidR="00751CBE" w:rsidRPr="00751CBE" w:rsidRDefault="00751CBE" w:rsidP="00751CBE">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[2]</w:t>
            </w:r>
          </w:p>
        </w:tc>
      </w:tr>
      <w:tr w:rsidR="00751CBE" w:rsidRPr="00751CBE" w14:paraId="37DE8F52" w14:textId="77777777" w:rsidTr="00751CBE">
        <w:tc>
          <w:tcPr>
            <w:tcW w:w="8840"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908450" w14:textId="77777777" w:rsidR="00751CBE" w:rsidRPr="00751CBE" w:rsidRDefault="00751CBE" w:rsidP="00751CBE">
            <w:pPr>
              <w:overflowPunct w:val="0"/>
              <w:spacing w:after="0" w:line="254" w:lineRule="auto"/>
              <w:ind w:left="850" w:hanging="850"/>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Note 1:</w:t>
            </w:r>
            <w:r w:rsidRPr="00751CBE">
              <w:rPr>
                <w:rFonts w:ascii="Calibri" w:eastAsia="Times New Roman" w:hAnsi="Calibri" w:cs="Calibri"/>
                <w:b/>
                <w:bCs/>
                <w:color w:val="FFFFFF"/>
                <w:kern w:val="24"/>
                <w:sz w:val="22"/>
                <w:szCs w:val="22"/>
                <w:lang w:eastAsia="en-GB"/>
              </w:rPr>
              <w:tab/>
              <w:t>The same SCS of source cell and target cell is assumed.</w:t>
            </w:r>
          </w:p>
          <w:p w14:paraId="5230DEC2" w14:textId="77777777" w:rsidR="00751CBE" w:rsidRPr="00751CBE" w:rsidRDefault="00751CBE" w:rsidP="00751CBE">
            <w:pPr>
              <w:overflowPunct w:val="0"/>
              <w:spacing w:after="0" w:line="254" w:lineRule="auto"/>
              <w:ind w:left="850" w:hanging="850"/>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Note 2:</w:t>
            </w:r>
            <w:r w:rsidRPr="00751CBE">
              <w:rPr>
                <w:rFonts w:ascii="Calibri" w:eastAsia="Times New Roman" w:hAnsi="Calibri" w:cs="Calibri"/>
                <w:b/>
                <w:bCs/>
                <w:color w:val="FFFFFF"/>
                <w:kern w:val="24"/>
                <w:sz w:val="22"/>
                <w:szCs w:val="22"/>
                <w:lang w:eastAsia="en-GB"/>
              </w:rPr>
              <w:tab/>
              <w:t xml:space="preserve">Both source cell and target cell </w:t>
            </w:r>
            <w:r w:rsidRPr="00751CBE">
              <w:rPr>
                <w:rFonts w:ascii="Calibri" w:eastAsia="Times New Roman" w:hAnsi="Calibri" w:cs="Calibri"/>
                <w:b/>
                <w:bCs/>
                <w:color w:val="FFFFFF"/>
                <w:kern w:val="24"/>
                <w:sz w:val="22"/>
                <w:szCs w:val="22"/>
                <w:lang w:eastAsia="en-GB"/>
              </w:rPr>
              <w:t xml:space="preserve">are </w:t>
            </w:r>
            <w:r w:rsidRPr="00751CBE">
              <w:rPr>
                <w:rFonts w:ascii="Calibri" w:eastAsia="Times New Roman" w:hAnsi="Calibri" w:cs="Calibri"/>
                <w:b/>
                <w:bCs/>
                <w:color w:val="FFFFFF"/>
                <w:kern w:val="24"/>
                <w:sz w:val="22"/>
                <w:szCs w:val="22"/>
                <w:lang w:eastAsia="en-GB"/>
              </w:rPr>
              <w:t>on FR1.</w:t>
            </w:r>
          </w:p>
        </w:tc>
      </w:tr>
    </w:tbl>
    <w:p w14:paraId="702D0445" w14:textId="77777777" w:rsidR="00751CBE" w:rsidRDefault="00751CBE" w:rsidP="00C5471A">
      <w:pPr>
        <w:rPr>
          <w:b/>
          <w:lang w:val="en-US" w:eastAsia="zh-CN"/>
        </w:rPr>
      </w:pPr>
    </w:p>
    <w:p w14:paraId="0A09AFD9" w14:textId="77777777" w:rsidR="00751CBE" w:rsidRPr="00751CBE" w:rsidRDefault="00751CBE" w:rsidP="00C5471A">
      <w:pPr>
        <w:rPr>
          <w:lang w:val="en-US" w:eastAsia="zh-CN"/>
        </w:rPr>
      </w:pPr>
      <w:r>
        <w:rPr>
          <w:lang w:val="en-US" w:eastAsia="zh-CN"/>
        </w:rPr>
        <w:t>Note that according to P1/P2 there still needs to be discussion on whether there is a single interruption, or an interruption at target addition and  source release in DAPS handover.</w:t>
      </w:r>
    </w:p>
    <w:p w14:paraId="30ABD726" w14:textId="77777777" w:rsidR="00C5471A" w:rsidRDefault="00C5471A" w:rsidP="00751CBE">
      <w:pPr>
        <w:rPr>
          <w:i/>
          <w:lang w:val="en-US" w:eastAsia="zh-CN"/>
        </w:rPr>
      </w:pPr>
      <w:r w:rsidRPr="00751CBE">
        <w:rPr>
          <w:i/>
          <w:lang w:val="en-US" w:eastAsia="zh-CN"/>
        </w:rPr>
        <w:t>Side condition: power imbalance between the two cells should be within X dB. X is F</w:t>
      </w:r>
      <w:r w:rsidR="00751CBE">
        <w:rPr>
          <w:i/>
          <w:lang w:val="en-US" w:eastAsia="zh-CN"/>
        </w:rPr>
        <w:t>FS</w:t>
      </w:r>
    </w:p>
    <w:p w14:paraId="4B6992F0" w14:textId="161EBF65" w:rsidR="00751CBE" w:rsidRDefault="00751CBE" w:rsidP="00751CBE">
      <w:pPr>
        <w:rPr>
          <w:lang w:val="en-US" w:eastAsia="zh-CN"/>
        </w:rPr>
      </w:pPr>
      <w:r>
        <w:rPr>
          <w:lang w:val="en-US" w:eastAsia="zh-CN"/>
        </w:rPr>
        <w:t xml:space="preserve">We propose that X (long term average power imbalance between the two cells) should be within [6]dB. Firstly, since the side condition for </w:t>
      </w:r>
      <w:r w:rsidR="00C20878">
        <w:rPr>
          <w:lang w:val="en-US" w:eastAsia="zh-CN"/>
        </w:rPr>
        <w:t xml:space="preserve">cell </w:t>
      </w:r>
      <w:r w:rsidR="00654B16">
        <w:rPr>
          <w:lang w:val="en-US" w:eastAsia="zh-CN"/>
        </w:rPr>
        <w:t>detection</w:t>
      </w:r>
      <w:r w:rsidR="00C20878">
        <w:rPr>
          <w:lang w:val="en-US" w:eastAsia="zh-CN"/>
        </w:rPr>
        <w:t xml:space="preserve"> and measurement is Es/Iot=-6dB, it would  be difficult for the UE to detect or report weaker cells. Secondly, power imbalance for LTE CA is 6dB so the value seems reasonable from a receiver dynamic range perspective. Larger imbalance would require more dynamic range from the UE receiver</w:t>
      </w:r>
    </w:p>
    <w:p w14:paraId="2C36DBA1" w14:textId="77777777" w:rsidR="00C20878" w:rsidRPr="00C20878" w:rsidRDefault="00C20878" w:rsidP="00751CBE">
      <w:pPr>
        <w:rPr>
          <w:b/>
          <w:lang w:val="en-US" w:eastAsia="zh-CN"/>
        </w:rPr>
      </w:pPr>
      <w:r w:rsidRPr="00C20878">
        <w:rPr>
          <w:b/>
          <w:lang w:val="en-US" w:eastAsia="zh-CN"/>
        </w:rPr>
        <w:t xml:space="preserve">Proposal 4: power imbalance between the two cells should be within </w:t>
      </w:r>
      <w:r>
        <w:rPr>
          <w:b/>
          <w:lang w:val="en-US" w:eastAsia="zh-CN"/>
        </w:rPr>
        <w:t>[6]</w:t>
      </w:r>
      <w:r w:rsidRPr="00C20878">
        <w:rPr>
          <w:b/>
          <w:lang w:val="en-US" w:eastAsia="zh-CN"/>
        </w:rPr>
        <w:t xml:space="preserve"> dB.</w:t>
      </w:r>
    </w:p>
    <w:p w14:paraId="4F946C2E" w14:textId="77777777" w:rsidR="00751CBE" w:rsidRPr="00751CBE" w:rsidRDefault="00D06803" w:rsidP="00D06803">
      <w:pPr>
        <w:rPr>
          <w:i/>
          <w:lang w:val="en-US" w:eastAsia="zh-CN"/>
        </w:rPr>
      </w:pPr>
      <w:r w:rsidRPr="00751CBE">
        <w:rPr>
          <w:i/>
          <w:lang w:val="en-US" w:eastAsia="zh-CN"/>
        </w:rPr>
        <w:t>Source cell release command</w:t>
      </w:r>
    </w:p>
    <w:p w14:paraId="0C06FF80" w14:textId="77777777" w:rsidR="00D06803" w:rsidRPr="00C5471A" w:rsidRDefault="00751CBE" w:rsidP="00D06803">
      <w:pPr>
        <w:rPr>
          <w:lang w:val="en-US" w:eastAsia="zh-CN"/>
        </w:rPr>
      </w:pPr>
      <w:r>
        <w:rPr>
          <w:lang w:val="en-US" w:eastAsia="zh-CN"/>
        </w:rPr>
        <w:t>This is c</w:t>
      </w:r>
      <w:r w:rsidR="00D06803">
        <w:rPr>
          <w:lang w:val="en-US" w:eastAsia="zh-CN"/>
        </w:rPr>
        <w:t>urrently TBD in CR</w:t>
      </w:r>
      <w:r w:rsidR="00C335D0">
        <w:rPr>
          <w:lang w:val="en-US" w:eastAsia="zh-CN"/>
        </w:rPr>
        <w:t xml:space="preserve">, </w:t>
      </w:r>
      <w:r>
        <w:rPr>
          <w:lang w:val="en-US" w:eastAsia="zh-CN"/>
        </w:rPr>
        <w:t>also when checking the RAN2 running CR</w:t>
      </w:r>
      <w:r w:rsidR="00C335D0">
        <w:rPr>
          <w:lang w:val="en-US" w:eastAsia="zh-CN"/>
        </w:rPr>
        <w:t xml:space="preserve"> (R2-1914833)</w:t>
      </w:r>
      <w:r>
        <w:rPr>
          <w:lang w:val="en-US" w:eastAsia="zh-CN"/>
        </w:rPr>
        <w:t>, the command does not seem to be decided yet.</w:t>
      </w:r>
    </w:p>
    <w:p w14:paraId="03847C5D" w14:textId="77777777" w:rsidR="006B6666" w:rsidRDefault="006B6666" w:rsidP="006B6666">
      <w:pPr>
        <w:pStyle w:val="Heading1"/>
        <w:jc w:val="both"/>
        <w:rPr>
          <w:rFonts w:eastAsia="SimSun"/>
          <w:lang w:val="en-US" w:eastAsia="zh-CN"/>
        </w:rPr>
      </w:pPr>
      <w:r>
        <w:rPr>
          <w:rFonts w:eastAsia="SimSun"/>
          <w:lang w:val="en-US" w:eastAsia="zh-CN"/>
        </w:rPr>
        <w:t>Conclusions</w:t>
      </w:r>
    </w:p>
    <w:p w14:paraId="0CA3AB5E" w14:textId="77777777" w:rsidR="006D1AAF" w:rsidRDefault="00C20878" w:rsidP="006D1AAF">
      <w:pPr>
        <w:rPr>
          <w:lang w:val="en-US" w:eastAsia="zh-CN"/>
        </w:rPr>
      </w:pPr>
      <w:r>
        <w:rPr>
          <w:lang w:val="en-US" w:eastAsia="zh-CN"/>
        </w:rPr>
        <w:t>In this paper, we discuss remaining open issues for DAPS handover. We propose</w:t>
      </w:r>
    </w:p>
    <w:p w14:paraId="7DF1F5BC" w14:textId="77777777" w:rsidR="00C20878" w:rsidRDefault="00C20878" w:rsidP="00C20878">
      <w:pPr>
        <w:rPr>
          <w:b/>
          <w:lang w:val="en-US" w:eastAsia="zh-CN"/>
        </w:rPr>
      </w:pPr>
      <w:r>
        <w:rPr>
          <w:b/>
          <w:lang w:val="en-US" w:eastAsia="zh-CN"/>
        </w:rPr>
        <w:t xml:space="preserve">Proposal 1 : To support cases where the relationship of </w:t>
      </w:r>
      <w:r w:rsidRPr="00597009">
        <w:rPr>
          <w:b/>
          <w:lang w:val="en-US" w:eastAsia="zh-CN"/>
        </w:rPr>
        <w:t>CBW of target and source cell is different to different the relationship between BWP of target and source cell</w:t>
      </w:r>
      <w:r>
        <w:rPr>
          <w:b/>
          <w:lang w:val="en-US" w:eastAsia="zh-CN"/>
        </w:rPr>
        <w:t>, generic interruption requirements are necessary. An interruption is allowed both when the target cell is added, and the source cell is released. This allows the UE always to have its RF configured to receive CBW.</w:t>
      </w:r>
    </w:p>
    <w:p w14:paraId="466D1D2A" w14:textId="77777777" w:rsidR="00C20878" w:rsidRPr="00F613CE" w:rsidRDefault="00C20878" w:rsidP="00C20878">
      <w:pPr>
        <w:rPr>
          <w:b/>
          <w:lang w:val="en-US" w:eastAsia="zh-CN"/>
        </w:rPr>
      </w:pPr>
      <w:r>
        <w:rPr>
          <w:b/>
          <w:lang w:val="en-US" w:eastAsia="zh-CN"/>
        </w:rPr>
        <w:t>Proposal 2 : RAN4 should discuss if P1 is strictly necessary</w:t>
      </w:r>
    </w:p>
    <w:p w14:paraId="6304B570" w14:textId="77777777" w:rsidR="00C20878" w:rsidRDefault="00C20878" w:rsidP="00C20878">
      <w:pPr>
        <w:rPr>
          <w:b/>
          <w:lang w:val="en-US" w:eastAsia="zh-CN"/>
        </w:rPr>
      </w:pPr>
      <w:r>
        <w:rPr>
          <w:b/>
          <w:lang w:val="en-US" w:eastAsia="zh-CN"/>
        </w:rPr>
        <w:t xml:space="preserve">Proposal 3 : The interruption for intra-frequency DAPS handover is specified as: </w:t>
      </w:r>
    </w:p>
    <w:tbl>
      <w:tblPr>
        <w:tblW w:w="8840" w:type="dxa"/>
        <w:tblCellMar>
          <w:left w:w="0" w:type="dxa"/>
          <w:right w:w="0" w:type="dxa"/>
        </w:tblCellMar>
        <w:tblLook w:val="04A0" w:firstRow="1" w:lastRow="0" w:firstColumn="1" w:lastColumn="0" w:noHBand="0" w:noVBand="1"/>
      </w:tblPr>
      <w:tblGrid>
        <w:gridCol w:w="1616"/>
        <w:gridCol w:w="2415"/>
        <w:gridCol w:w="4809"/>
      </w:tblGrid>
      <w:tr w:rsidR="00C20878" w:rsidRPr="00751CBE" w14:paraId="0A64F246" w14:textId="77777777" w:rsidTr="00631F41">
        <w:trPr>
          <w:trHeight w:val="458"/>
        </w:trPr>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6B17A14" w14:textId="77777777" w:rsidR="00C20878" w:rsidRPr="00751CBE" w:rsidRDefault="00C20878" w:rsidP="00631F41">
            <w:pPr>
              <w:spacing w:after="0"/>
              <w:rPr>
                <w:rFonts w:eastAsia="Times New Roman"/>
                <w:sz w:val="24"/>
                <w:szCs w:val="24"/>
                <w:lang w:eastAsia="en-GB"/>
              </w:rPr>
            </w:pPr>
          </w:p>
        </w:tc>
        <w:tc>
          <w:tcPr>
            <w:tcW w:w="24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1A53CCA"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NR Slot length (ms)</w:t>
            </w:r>
          </w:p>
        </w:tc>
        <w:tc>
          <w:tcPr>
            <w:tcW w:w="48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B19DDF5"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Interruption length X (slots</w:t>
            </w:r>
            <w:r w:rsidRPr="00751CBE">
              <w:rPr>
                <w:rFonts w:ascii="Calibri" w:eastAsia="Times New Roman" w:hAnsi="Calibri" w:cs="Calibri"/>
                <w:b/>
                <w:bCs/>
                <w:color w:val="FFFFFF"/>
                <w:kern w:val="24"/>
                <w:position w:val="7"/>
                <w:sz w:val="22"/>
                <w:szCs w:val="22"/>
                <w:vertAlign w:val="superscript"/>
                <w:lang w:eastAsia="en-GB"/>
              </w:rPr>
              <w:t>note 1</w:t>
            </w:r>
            <w:r w:rsidRPr="00751CBE">
              <w:rPr>
                <w:rFonts w:ascii="Calibri" w:eastAsia="Times New Roman" w:hAnsi="Calibri" w:cs="Calibri"/>
                <w:b/>
                <w:bCs/>
                <w:color w:val="FFFFFF"/>
                <w:kern w:val="24"/>
                <w:sz w:val="22"/>
                <w:szCs w:val="22"/>
                <w:lang w:eastAsia="en-GB"/>
              </w:rPr>
              <w:t>)</w:t>
            </w:r>
          </w:p>
        </w:tc>
      </w:tr>
      <w:tr w:rsidR="00C20878" w:rsidRPr="00751CBE" w14:paraId="08225256" w14:textId="77777777" w:rsidTr="00631F41">
        <w:tc>
          <w:tcPr>
            <w:tcW w:w="162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DAF1AFB"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0</w:t>
            </w:r>
          </w:p>
        </w:tc>
        <w:tc>
          <w:tcPr>
            <w:tcW w:w="2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1AAE7D3"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c>
          <w:tcPr>
            <w:tcW w:w="48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48C5EEC"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r>
      <w:tr w:rsidR="00C20878" w:rsidRPr="00751CBE" w14:paraId="79AAA75B" w14:textId="77777777" w:rsidTr="00631F41">
        <w:tc>
          <w:tcPr>
            <w:tcW w:w="16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7BD757A"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1</w:t>
            </w:r>
          </w:p>
        </w:tc>
        <w:tc>
          <w:tcPr>
            <w:tcW w:w="2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A5080B2"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0.5</w:t>
            </w:r>
          </w:p>
        </w:tc>
        <w:tc>
          <w:tcPr>
            <w:tcW w:w="48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D65E90E"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[1]</w:t>
            </w:r>
          </w:p>
        </w:tc>
      </w:tr>
      <w:tr w:rsidR="00C20878" w:rsidRPr="00751CBE" w14:paraId="0ADABA4C" w14:textId="77777777" w:rsidTr="00631F41">
        <w:tc>
          <w:tcPr>
            <w:tcW w:w="16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2E35635"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2</w:t>
            </w:r>
          </w:p>
        </w:tc>
        <w:tc>
          <w:tcPr>
            <w:tcW w:w="2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66EE462"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0.25</w:t>
            </w:r>
            <w:r w:rsidRPr="00751CBE">
              <w:rPr>
                <w:rFonts w:ascii="Calibri" w:eastAsia="Times New Roman" w:hAnsi="Calibri" w:cs="Calibri"/>
                <w:color w:val="000000"/>
                <w:kern w:val="24"/>
                <w:position w:val="7"/>
                <w:sz w:val="22"/>
                <w:szCs w:val="22"/>
                <w:vertAlign w:val="superscript"/>
                <w:lang w:eastAsia="en-GB"/>
              </w:rPr>
              <w:t xml:space="preserve"> Note 2</w:t>
            </w:r>
          </w:p>
        </w:tc>
        <w:tc>
          <w:tcPr>
            <w:tcW w:w="48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73C2EC2" w14:textId="77777777" w:rsidR="00C20878" w:rsidRPr="00751CBE" w:rsidRDefault="00C20878" w:rsidP="00631F41">
            <w:pPr>
              <w:overflowPunct w:val="0"/>
              <w:spacing w:after="0" w:line="254" w:lineRule="auto"/>
              <w:jc w:val="center"/>
              <w:rPr>
                <w:rFonts w:ascii="Arial" w:eastAsia="Times New Roman" w:hAnsi="Arial" w:cs="Arial"/>
                <w:sz w:val="36"/>
                <w:szCs w:val="36"/>
                <w:lang w:eastAsia="en-GB"/>
              </w:rPr>
            </w:pPr>
            <w:r w:rsidRPr="00751CBE">
              <w:rPr>
                <w:rFonts w:ascii="Calibri" w:eastAsia="Times New Roman" w:hAnsi="Calibri" w:cs="Calibri"/>
                <w:color w:val="000000"/>
                <w:kern w:val="24"/>
                <w:sz w:val="22"/>
                <w:szCs w:val="22"/>
                <w:lang w:eastAsia="en-GB"/>
              </w:rPr>
              <w:t>[2]</w:t>
            </w:r>
          </w:p>
        </w:tc>
      </w:tr>
      <w:tr w:rsidR="00C20878" w:rsidRPr="00751CBE" w14:paraId="0F68F012" w14:textId="77777777" w:rsidTr="00631F41">
        <w:tc>
          <w:tcPr>
            <w:tcW w:w="8840"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429A5B8" w14:textId="77777777" w:rsidR="00C20878" w:rsidRPr="00751CBE" w:rsidRDefault="00C20878" w:rsidP="00631F41">
            <w:pPr>
              <w:overflowPunct w:val="0"/>
              <w:spacing w:after="0" w:line="254" w:lineRule="auto"/>
              <w:ind w:left="850" w:hanging="850"/>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Note 1:</w:t>
            </w:r>
            <w:r w:rsidRPr="00751CBE">
              <w:rPr>
                <w:rFonts w:ascii="Calibri" w:eastAsia="Times New Roman" w:hAnsi="Calibri" w:cs="Calibri"/>
                <w:b/>
                <w:bCs/>
                <w:color w:val="FFFFFF"/>
                <w:kern w:val="24"/>
                <w:sz w:val="22"/>
                <w:szCs w:val="22"/>
                <w:lang w:eastAsia="en-GB"/>
              </w:rPr>
              <w:tab/>
              <w:t>The same SCS of source cell and target cell is assumed.</w:t>
            </w:r>
          </w:p>
          <w:p w14:paraId="4CC7287C" w14:textId="77777777" w:rsidR="00C20878" w:rsidRPr="00751CBE" w:rsidRDefault="00C20878" w:rsidP="00631F41">
            <w:pPr>
              <w:overflowPunct w:val="0"/>
              <w:spacing w:after="0" w:line="254" w:lineRule="auto"/>
              <w:ind w:left="850" w:hanging="850"/>
              <w:rPr>
                <w:rFonts w:ascii="Arial" w:eastAsia="Times New Roman" w:hAnsi="Arial" w:cs="Arial"/>
                <w:sz w:val="36"/>
                <w:szCs w:val="36"/>
                <w:lang w:eastAsia="en-GB"/>
              </w:rPr>
            </w:pPr>
            <w:r w:rsidRPr="00751CBE">
              <w:rPr>
                <w:rFonts w:ascii="Calibri" w:eastAsia="Times New Roman" w:hAnsi="Calibri" w:cs="Calibri"/>
                <w:b/>
                <w:bCs/>
                <w:color w:val="FFFFFF"/>
                <w:kern w:val="24"/>
                <w:sz w:val="22"/>
                <w:szCs w:val="22"/>
                <w:lang w:eastAsia="en-GB"/>
              </w:rPr>
              <w:t>Note 2:</w:t>
            </w:r>
            <w:r w:rsidRPr="00751CBE">
              <w:rPr>
                <w:rFonts w:ascii="Calibri" w:eastAsia="Times New Roman" w:hAnsi="Calibri" w:cs="Calibri"/>
                <w:b/>
                <w:bCs/>
                <w:color w:val="FFFFFF"/>
                <w:kern w:val="24"/>
                <w:sz w:val="22"/>
                <w:szCs w:val="22"/>
                <w:lang w:eastAsia="en-GB"/>
              </w:rPr>
              <w:tab/>
              <w:t xml:space="preserve">Both source cell and target cell </w:t>
            </w:r>
            <w:r w:rsidRPr="00751CBE">
              <w:rPr>
                <w:rFonts w:ascii="Calibri" w:eastAsia="Times New Roman" w:hAnsi="Calibri" w:cs="Calibri"/>
                <w:b/>
                <w:bCs/>
                <w:color w:val="FFFFFF"/>
                <w:kern w:val="24"/>
                <w:sz w:val="22"/>
                <w:szCs w:val="22"/>
                <w:lang w:eastAsia="en-GB"/>
              </w:rPr>
              <w:t xml:space="preserve">are </w:t>
            </w:r>
            <w:r w:rsidRPr="00751CBE">
              <w:rPr>
                <w:rFonts w:ascii="Calibri" w:eastAsia="Times New Roman" w:hAnsi="Calibri" w:cs="Calibri"/>
                <w:b/>
                <w:bCs/>
                <w:color w:val="FFFFFF"/>
                <w:kern w:val="24"/>
                <w:sz w:val="22"/>
                <w:szCs w:val="22"/>
                <w:lang w:eastAsia="en-GB"/>
              </w:rPr>
              <w:t>on FR1.</w:t>
            </w:r>
          </w:p>
        </w:tc>
      </w:tr>
    </w:tbl>
    <w:p w14:paraId="47CE9FE8" w14:textId="77777777" w:rsidR="00C20878" w:rsidRDefault="00C20878" w:rsidP="00C20878">
      <w:pPr>
        <w:rPr>
          <w:b/>
          <w:lang w:val="en-US" w:eastAsia="zh-CN"/>
        </w:rPr>
      </w:pPr>
    </w:p>
    <w:p w14:paraId="5CD9580D" w14:textId="77777777" w:rsidR="00C20878" w:rsidRPr="00C20878" w:rsidRDefault="00C20878" w:rsidP="00C20878">
      <w:pPr>
        <w:rPr>
          <w:b/>
          <w:lang w:val="en-US" w:eastAsia="zh-CN"/>
        </w:rPr>
      </w:pPr>
      <w:r w:rsidRPr="00C20878">
        <w:rPr>
          <w:b/>
          <w:lang w:val="en-US" w:eastAsia="zh-CN"/>
        </w:rPr>
        <w:t xml:space="preserve">Proposal 4: power imbalance between the two cells should be within </w:t>
      </w:r>
      <w:r>
        <w:rPr>
          <w:b/>
          <w:lang w:val="en-US" w:eastAsia="zh-CN"/>
        </w:rPr>
        <w:t>[6]</w:t>
      </w:r>
      <w:r w:rsidRPr="00C20878">
        <w:rPr>
          <w:b/>
          <w:lang w:val="en-US" w:eastAsia="zh-CN"/>
        </w:rPr>
        <w:t xml:space="preserve"> dB.</w:t>
      </w:r>
    </w:p>
    <w:p w14:paraId="1913E396" w14:textId="77777777" w:rsidR="00C20878" w:rsidRPr="006D1AAF" w:rsidRDefault="00C20878" w:rsidP="006D1AAF">
      <w:pPr>
        <w:rPr>
          <w:lang w:val="en-US" w:eastAsia="zh-CN"/>
        </w:rPr>
      </w:pPr>
    </w:p>
    <w:p w14:paraId="2B0EA472"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BC770AB" w14:textId="77777777" w:rsidR="003F08E6" w:rsidRDefault="00273C34" w:rsidP="000E35CC">
      <w:pPr>
        <w:pStyle w:val="3GPPNormalText"/>
        <w:numPr>
          <w:ilvl w:val="0"/>
          <w:numId w:val="5"/>
        </w:numPr>
        <w:rPr>
          <w:szCs w:val="20"/>
          <w:lang w:eastAsia="zh-CN"/>
        </w:rPr>
      </w:pPr>
      <w:bookmarkStart w:id="1" w:name="_Ref23229642"/>
      <w:bookmarkStart w:id="2" w:name="_Ref26949661"/>
      <w:r>
        <w:rPr>
          <w:szCs w:val="20"/>
          <w:lang w:eastAsia="zh-CN"/>
        </w:rPr>
        <w:t>R4-191</w:t>
      </w:r>
      <w:bookmarkEnd w:id="1"/>
      <w:r w:rsidR="00C5471A">
        <w:rPr>
          <w:szCs w:val="20"/>
          <w:lang w:eastAsia="zh-CN"/>
        </w:rPr>
        <w:t>3436, “</w:t>
      </w:r>
      <w:r w:rsidR="00C5471A" w:rsidRPr="00C5471A">
        <w:rPr>
          <w:szCs w:val="20"/>
          <w:lang w:val="en-GB" w:eastAsia="zh-CN"/>
        </w:rPr>
        <w:t>Way forward on NR mobility enhancement</w:t>
      </w:r>
      <w:r w:rsidR="00C5471A">
        <w:rPr>
          <w:szCs w:val="20"/>
          <w:lang w:eastAsia="zh-CN"/>
        </w:rPr>
        <w:t>”, Intel</w:t>
      </w:r>
      <w:bookmarkEnd w:id="2"/>
    </w:p>
    <w:p w14:paraId="5D3A465B" w14:textId="77777777" w:rsidR="00C5471A" w:rsidRDefault="00D06803" w:rsidP="000E35CC">
      <w:pPr>
        <w:pStyle w:val="3GPPNormalText"/>
        <w:numPr>
          <w:ilvl w:val="0"/>
          <w:numId w:val="5"/>
        </w:numPr>
        <w:rPr>
          <w:szCs w:val="20"/>
          <w:lang w:eastAsia="zh-CN"/>
        </w:rPr>
      </w:pPr>
      <w:bookmarkStart w:id="3" w:name="_Ref26949420"/>
      <w:r w:rsidRPr="00D06803">
        <w:rPr>
          <w:szCs w:val="20"/>
          <w:lang w:eastAsia="zh-CN"/>
        </w:rPr>
        <w:t>R4-1915604</w:t>
      </w:r>
      <w:r w:rsidRPr="00D06803">
        <w:rPr>
          <w:szCs w:val="20"/>
          <w:lang w:eastAsia="zh-CN"/>
        </w:rPr>
        <w:tab/>
      </w:r>
      <w:r>
        <w:rPr>
          <w:szCs w:val="20"/>
          <w:lang w:eastAsia="zh-CN"/>
        </w:rPr>
        <w:t>, “</w:t>
      </w:r>
      <w:r w:rsidRPr="00D06803">
        <w:rPr>
          <w:szCs w:val="20"/>
          <w:lang w:eastAsia="zh-CN"/>
        </w:rPr>
        <w:t>CR on introducing DAPS handover requirements in TS38.133</w:t>
      </w:r>
      <w:r>
        <w:rPr>
          <w:szCs w:val="20"/>
          <w:lang w:eastAsia="zh-CN"/>
        </w:rPr>
        <w:t>”</w:t>
      </w:r>
      <w:r w:rsidRPr="00D06803">
        <w:rPr>
          <w:szCs w:val="20"/>
          <w:lang w:eastAsia="zh-CN"/>
        </w:rPr>
        <w:tab/>
        <w:t>Huawei, HiSilicon</w:t>
      </w:r>
      <w:bookmarkEnd w:id="3"/>
    </w:p>
    <w:sectPr w:rsidR="00C5471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1DE09" w14:textId="77777777" w:rsidR="00691849" w:rsidRDefault="00691849">
      <w:r>
        <w:separator/>
      </w:r>
    </w:p>
  </w:endnote>
  <w:endnote w:type="continuationSeparator" w:id="0">
    <w:p w14:paraId="37D19990" w14:textId="77777777" w:rsidR="00691849" w:rsidRDefault="0069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6103"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2D99B2A" w14:textId="77777777" w:rsidR="00FB04AC" w:rsidRDefault="00FB04AC">
    <w:pPr>
      <w:pStyle w:val="Footer"/>
    </w:pPr>
  </w:p>
  <w:p w14:paraId="11226364" w14:textId="77777777" w:rsidR="00FB04AC" w:rsidRDefault="00FB04AC"/>
  <w:p w14:paraId="6F4BB197"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E2B06"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BB54A91" w14:textId="77777777" w:rsidR="00FB04AC" w:rsidRDefault="00FB04AC">
    <w:pPr>
      <w:pStyle w:val="Footer"/>
      <w:ind w:right="360"/>
    </w:pPr>
  </w:p>
  <w:p w14:paraId="14FA57CC" w14:textId="77777777" w:rsidR="00FB04AC" w:rsidRDefault="00FB04AC"/>
  <w:p w14:paraId="6306ECA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234AD" w14:textId="77777777" w:rsidR="00691849" w:rsidRDefault="00691849">
      <w:r>
        <w:separator/>
      </w:r>
    </w:p>
  </w:footnote>
  <w:footnote w:type="continuationSeparator" w:id="0">
    <w:p w14:paraId="50CB011D" w14:textId="77777777" w:rsidR="00691849" w:rsidRDefault="00691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47C71"/>
    <w:multiLevelType w:val="hybridMultilevel"/>
    <w:tmpl w:val="916ED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B14875"/>
    <w:multiLevelType w:val="hybridMultilevel"/>
    <w:tmpl w:val="B32E82BE"/>
    <w:lvl w:ilvl="0" w:tplc="591036B2">
      <w:start w:val="1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2" w15:restartNumberingAfterBreak="0">
    <w:nsid w:val="7CEA03A7"/>
    <w:multiLevelType w:val="hybridMultilevel"/>
    <w:tmpl w:val="916ED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39"/>
  </w:num>
  <w:num w:numId="3">
    <w:abstractNumId w:val="41"/>
  </w:num>
  <w:num w:numId="4">
    <w:abstractNumId w:val="12"/>
  </w:num>
  <w:num w:numId="5">
    <w:abstractNumId w:val="15"/>
  </w:num>
  <w:num w:numId="6">
    <w:abstractNumId w:val="35"/>
  </w:num>
  <w:num w:numId="7">
    <w:abstractNumId w:val="13"/>
  </w:num>
  <w:num w:numId="8">
    <w:abstractNumId w:val="28"/>
  </w:num>
  <w:num w:numId="9">
    <w:abstractNumId w:val="18"/>
  </w:num>
  <w:num w:numId="10">
    <w:abstractNumId w:val="19"/>
  </w:num>
  <w:num w:numId="11">
    <w:abstractNumId w:val="9"/>
  </w:num>
  <w:num w:numId="12">
    <w:abstractNumId w:val="25"/>
  </w:num>
  <w:num w:numId="13">
    <w:abstractNumId w:val="1"/>
  </w:num>
  <w:num w:numId="14">
    <w:abstractNumId w:val="2"/>
  </w:num>
  <w:num w:numId="15">
    <w:abstractNumId w:val="40"/>
  </w:num>
  <w:num w:numId="16">
    <w:abstractNumId w:val="26"/>
  </w:num>
  <w:num w:numId="17">
    <w:abstractNumId w:val="27"/>
  </w:num>
  <w:num w:numId="18">
    <w:abstractNumId w:val="11"/>
  </w:num>
  <w:num w:numId="19">
    <w:abstractNumId w:val="31"/>
  </w:num>
  <w:num w:numId="20">
    <w:abstractNumId w:val="33"/>
  </w:num>
  <w:num w:numId="21">
    <w:abstractNumId w:val="8"/>
  </w:num>
  <w:num w:numId="22">
    <w:abstractNumId w:val="37"/>
  </w:num>
  <w:num w:numId="23">
    <w:abstractNumId w:val="4"/>
  </w:num>
  <w:num w:numId="24">
    <w:abstractNumId w:val="29"/>
  </w:num>
  <w:num w:numId="25">
    <w:abstractNumId w:val="10"/>
  </w:num>
  <w:num w:numId="26">
    <w:abstractNumId w:val="32"/>
  </w:num>
  <w:num w:numId="27">
    <w:abstractNumId w:val="23"/>
  </w:num>
  <w:num w:numId="28">
    <w:abstractNumId w:val="24"/>
  </w:num>
  <w:num w:numId="29">
    <w:abstractNumId w:val="38"/>
  </w:num>
  <w:num w:numId="30">
    <w:abstractNumId w:val="34"/>
  </w:num>
  <w:num w:numId="31">
    <w:abstractNumId w:val="36"/>
  </w:num>
  <w:num w:numId="32">
    <w:abstractNumId w:val="14"/>
  </w:num>
  <w:num w:numId="33">
    <w:abstractNumId w:val="22"/>
  </w:num>
  <w:num w:numId="34">
    <w:abstractNumId w:val="3"/>
  </w:num>
  <w:num w:numId="35">
    <w:abstractNumId w:val="6"/>
  </w:num>
  <w:num w:numId="36">
    <w:abstractNumId w:val="7"/>
  </w:num>
  <w:num w:numId="37">
    <w:abstractNumId w:val="30"/>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6"/>
  </w:num>
  <w:num w:numId="40">
    <w:abstractNumId w:val="17"/>
  </w:num>
  <w:num w:numId="41">
    <w:abstractNumId w:val="20"/>
  </w:num>
  <w:num w:numId="42">
    <w:abstractNumId w:val="5"/>
  </w:num>
  <w:num w:numId="43">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6AD"/>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1CA"/>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009"/>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4B16"/>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849"/>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BE"/>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AF6"/>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349"/>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0878"/>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5D0"/>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820"/>
    <w:rsid w:val="00C52B1E"/>
    <w:rsid w:val="00C52CCA"/>
    <w:rsid w:val="00C537E4"/>
    <w:rsid w:val="00C541D2"/>
    <w:rsid w:val="00C5471A"/>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803"/>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3CE"/>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7F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357592"/>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8247625">
      <w:bodyDiv w:val="1"/>
      <w:marLeft w:val="0"/>
      <w:marRight w:val="0"/>
      <w:marTop w:val="0"/>
      <w:marBottom w:val="0"/>
      <w:divBdr>
        <w:top w:val="none" w:sz="0" w:space="0" w:color="auto"/>
        <w:left w:val="none" w:sz="0" w:space="0" w:color="auto"/>
        <w:bottom w:val="none" w:sz="0" w:space="0" w:color="auto"/>
        <w:right w:val="none" w:sz="0" w:space="0" w:color="auto"/>
      </w:divBdr>
    </w:div>
    <w:div w:id="973679876">
      <w:bodyDiv w:val="1"/>
      <w:marLeft w:val="0"/>
      <w:marRight w:val="0"/>
      <w:marTop w:val="0"/>
      <w:marBottom w:val="0"/>
      <w:divBdr>
        <w:top w:val="none" w:sz="0" w:space="0" w:color="auto"/>
        <w:left w:val="none" w:sz="0" w:space="0" w:color="auto"/>
        <w:bottom w:val="none" w:sz="0" w:space="0" w:color="auto"/>
        <w:right w:val="none" w:sz="0" w:space="0" w:color="auto"/>
      </w:divBdr>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245687">
      <w:bodyDiv w:val="1"/>
      <w:marLeft w:val="0"/>
      <w:marRight w:val="0"/>
      <w:marTop w:val="0"/>
      <w:marBottom w:val="0"/>
      <w:divBdr>
        <w:top w:val="none" w:sz="0" w:space="0" w:color="auto"/>
        <w:left w:val="none" w:sz="0" w:space="0" w:color="auto"/>
        <w:bottom w:val="none" w:sz="0" w:space="0" w:color="auto"/>
        <w:right w:val="none" w:sz="0" w:space="0" w:color="auto"/>
      </w:divBdr>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8581186">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62048382">
      <w:bodyDiv w:val="1"/>
      <w:marLeft w:val="0"/>
      <w:marRight w:val="0"/>
      <w:marTop w:val="0"/>
      <w:marBottom w:val="0"/>
      <w:divBdr>
        <w:top w:val="none" w:sz="0" w:space="0" w:color="auto"/>
        <w:left w:val="none" w:sz="0" w:space="0" w:color="auto"/>
        <w:bottom w:val="none" w:sz="0" w:space="0" w:color="auto"/>
        <w:right w:val="none" w:sz="0" w:space="0" w:color="auto"/>
      </w:divBdr>
      <w:divsChild>
        <w:div w:id="350692906">
          <w:marLeft w:val="1166"/>
          <w:marRight w:val="0"/>
          <w:marTop w:val="0"/>
          <w:marBottom w:val="0"/>
          <w:divBdr>
            <w:top w:val="none" w:sz="0" w:space="0" w:color="auto"/>
            <w:left w:val="none" w:sz="0" w:space="0" w:color="auto"/>
            <w:bottom w:val="none" w:sz="0" w:space="0" w:color="auto"/>
            <w:right w:val="none" w:sz="0" w:space="0" w:color="auto"/>
          </w:divBdr>
        </w:div>
        <w:div w:id="417943367">
          <w:marLeft w:val="1166"/>
          <w:marRight w:val="0"/>
          <w:marTop w:val="0"/>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3CC76B-8EC1-4363-BE85-AD63FA8B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2020-02-14T17:40:00Z</dcterms:created>
  <dcterms:modified xsi:type="dcterms:W3CDTF">2020-02-14T17:40:00Z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